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666666" w:sz="6" w:space="15"/>
          <w:right w:val="none" w:color="auto" w:sz="0" w:space="0"/>
        </w:pBdr>
        <w:shd w:val="clear" w:fill="FFFFFF"/>
        <w:spacing w:before="0" w:beforeAutospacing="0" w:after="0" w:afterAutospacing="0"/>
        <w:ind w:left="0" w:right="0" w:firstLine="0"/>
        <w:jc w:val="center"/>
        <w:rPr>
          <w:rFonts w:ascii="Tahoma" w:hAnsi="Tahoma" w:eastAsia="Tahoma" w:cs="Tahoma"/>
          <w:b/>
          <w:i w:val="0"/>
          <w:caps w:val="0"/>
          <w:color w:val="E02F00"/>
          <w:spacing w:val="0"/>
          <w:sz w:val="36"/>
          <w:szCs w:val="36"/>
        </w:rPr>
      </w:pPr>
      <w:r>
        <w:rPr>
          <w:rStyle w:val="4"/>
          <w:rFonts w:hint="default" w:ascii="Tahoma" w:hAnsi="Tahoma" w:eastAsia="Tahoma" w:cs="Tahoma"/>
          <w:b w:val="0"/>
          <w:i w:val="0"/>
          <w:caps w:val="0"/>
          <w:color w:val="E02F00"/>
          <w:spacing w:val="0"/>
          <w:kern w:val="0"/>
          <w:sz w:val="36"/>
          <w:szCs w:val="36"/>
          <w:bdr w:val="none" w:color="auto" w:sz="0" w:space="0"/>
          <w:shd w:val="clear" w:fill="FFFFFF"/>
          <w:lang w:val="en-US" w:eastAsia="zh-CN" w:bidi="ar"/>
        </w:rPr>
        <w:t>沈阳市老年人照顾服务项目实施方案政策解读（2018/07/24）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rPr>
          <w:rFonts w:hint="default" w:ascii="Tahoma" w:hAnsi="Tahoma" w:eastAsia="Tahoma" w:cs="Tahoma"/>
          <w:i w:val="0"/>
          <w:caps w:val="0"/>
          <w:color w:val="666666"/>
          <w:spacing w:val="0"/>
          <w:sz w:val="21"/>
          <w:szCs w:val="21"/>
        </w:rPr>
      </w:pPr>
      <w:r>
        <w:rPr>
          <w:rStyle w:val="4"/>
          <w:rFonts w:hint="default" w:ascii="Tahoma" w:hAnsi="Tahoma" w:eastAsia="Tahoma" w:cs="Tahoma"/>
          <w:b w:val="0"/>
          <w:i w:val="0"/>
          <w:caps w:val="0"/>
          <w:color w:val="666666"/>
          <w:spacing w:val="0"/>
          <w:kern w:val="0"/>
          <w:sz w:val="21"/>
          <w:szCs w:val="21"/>
          <w:bdr w:val="none" w:color="auto" w:sz="0" w:space="0"/>
          <w:shd w:val="clear" w:fill="FFFFFF"/>
          <w:lang w:val="en-US" w:eastAsia="zh-CN" w:bidi="ar"/>
        </w:rPr>
        <w:t>时间：2018-07-24 来源： 文字大小：</w: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begin"/>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instrText xml:space="preserve"> HYPERLINK "http://www.symzj.gov.cn/html/SYMZJ/201901/javascript:void(0)" </w:instrTex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separate"/>
      </w:r>
      <w:r>
        <w:rPr>
          <w:rStyle w:val="5"/>
          <w:rFonts w:hint="default" w:ascii="Tahoma" w:hAnsi="Tahoma" w:eastAsia="Tahoma" w:cs="Tahoma"/>
          <w:b w:val="0"/>
          <w:i w:val="0"/>
          <w:caps w:val="0"/>
          <w:color w:val="666666"/>
          <w:spacing w:val="0"/>
          <w:sz w:val="21"/>
          <w:szCs w:val="21"/>
          <w:u w:val="none"/>
          <w:bdr w:val="none" w:color="auto" w:sz="0" w:space="0"/>
          <w:shd w:val="clear" w:fill="FFFFFF"/>
        </w:rPr>
        <w:t>大</w: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end"/>
      </w:r>
      <w:r>
        <w:rPr>
          <w:rFonts w:hint="default" w:ascii="Tahoma" w:hAnsi="Tahoma" w:eastAsia="Tahoma" w:cs="Tahoma"/>
          <w:i w:val="0"/>
          <w:caps w:val="0"/>
          <w:color w:val="666666"/>
          <w:spacing w:val="0"/>
          <w:kern w:val="0"/>
          <w:sz w:val="21"/>
          <w:szCs w:val="21"/>
          <w:bdr w:val="none" w:color="auto" w:sz="0" w:space="0"/>
          <w:shd w:val="clear" w:fill="FFFFFF"/>
          <w:lang w:val="en-US" w:eastAsia="zh-CN" w:bidi="ar"/>
        </w:rPr>
        <w:t>  </w: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begin"/>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instrText xml:space="preserve"> HYPERLINK "http://www.symzj.gov.cn/html/SYMZJ/201901/javascript:void(0)" </w:instrTex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separate"/>
      </w:r>
      <w:r>
        <w:rPr>
          <w:rStyle w:val="5"/>
          <w:rFonts w:hint="default" w:ascii="Tahoma" w:hAnsi="Tahoma" w:eastAsia="Tahoma" w:cs="Tahoma"/>
          <w:b w:val="0"/>
          <w:i w:val="0"/>
          <w:caps w:val="0"/>
          <w:color w:val="666666"/>
          <w:spacing w:val="0"/>
          <w:sz w:val="21"/>
          <w:szCs w:val="21"/>
          <w:u w:val="none"/>
          <w:bdr w:val="none" w:color="auto" w:sz="0" w:space="0"/>
          <w:shd w:val="clear" w:fill="FFFFFF"/>
        </w:rPr>
        <w:t>中</w: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end"/>
      </w:r>
      <w:r>
        <w:rPr>
          <w:rFonts w:hint="default" w:ascii="Tahoma" w:hAnsi="Tahoma" w:eastAsia="Tahoma" w:cs="Tahoma"/>
          <w:i w:val="0"/>
          <w:caps w:val="0"/>
          <w:color w:val="666666"/>
          <w:spacing w:val="0"/>
          <w:kern w:val="0"/>
          <w:sz w:val="21"/>
          <w:szCs w:val="21"/>
          <w:bdr w:val="none" w:color="auto" w:sz="0" w:space="0"/>
          <w:shd w:val="clear" w:fill="FFFFFF"/>
          <w:lang w:val="en-US" w:eastAsia="zh-CN" w:bidi="ar"/>
        </w:rPr>
        <w:t>  </w: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begin"/>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instrText xml:space="preserve"> HYPERLINK "http://www.symzj.gov.cn/html/SYMZJ/201901/javascript:void(0)" </w:instrTex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separate"/>
      </w:r>
      <w:r>
        <w:rPr>
          <w:rStyle w:val="5"/>
          <w:rFonts w:hint="default" w:ascii="Tahoma" w:hAnsi="Tahoma" w:eastAsia="Tahoma" w:cs="Tahoma"/>
          <w:b w:val="0"/>
          <w:i w:val="0"/>
          <w:caps w:val="0"/>
          <w:color w:val="666666"/>
          <w:spacing w:val="0"/>
          <w:sz w:val="21"/>
          <w:szCs w:val="21"/>
          <w:u w:val="none"/>
          <w:bdr w:val="none" w:color="auto" w:sz="0" w:space="0"/>
          <w:shd w:val="clear" w:fill="FFFFFF"/>
        </w:rPr>
        <w:t>小</w:t>
      </w:r>
      <w:r>
        <w:rPr>
          <w:rFonts w:hint="default" w:ascii="Tahoma" w:hAnsi="Tahoma" w:eastAsia="Tahoma" w:cs="Tahoma"/>
          <w:i w:val="0"/>
          <w:caps w:val="0"/>
          <w:color w:val="666666"/>
          <w:spacing w:val="0"/>
          <w:kern w:val="0"/>
          <w:sz w:val="21"/>
          <w:szCs w:val="21"/>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Tahoma" w:hAnsi="Tahoma" w:eastAsia="Tahoma" w:cs="Tahoma"/>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ascii="黑体" w:hAnsi="Tahoma" w:eastAsia="黑体" w:cs="黑体"/>
          <w:b w:val="0"/>
          <w:i w:val="0"/>
          <w:caps w:val="0"/>
          <w:color w:val="666666"/>
          <w:spacing w:val="0"/>
          <w:sz w:val="31"/>
          <w:szCs w:val="31"/>
          <w:bdr w:val="none" w:color="auto" w:sz="0" w:space="0"/>
          <w:shd w:val="clear" w:fill="FFFFFF"/>
        </w:rPr>
        <w:t>一、</w:t>
      </w:r>
      <w:r>
        <w:rPr>
          <w:rStyle w:val="4"/>
          <w:rFonts w:hint="eastAsia" w:ascii="黑体" w:hAnsi="Tahoma" w:eastAsia="黑体" w:cs="黑体"/>
          <w:b w:val="0"/>
          <w:i w:val="0"/>
          <w:caps w:val="0"/>
          <w:color w:val="666666"/>
          <w:spacing w:val="0"/>
          <w:sz w:val="31"/>
          <w:szCs w:val="31"/>
          <w:bdr w:val="none" w:color="auto" w:sz="0" w:space="0"/>
          <w:shd w:val="clear" w:fill="FFFFFF"/>
        </w:rPr>
        <w:t>出台文件的背景及依据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为贯彻落实《国务院办公厅关于制定和实施老年人照顾服务项目的意见》（国办发〔</w:t>
      </w:r>
      <w:r>
        <w:rPr>
          <w:rStyle w:val="4"/>
          <w:rFonts w:hint="default" w:ascii="Times New Roman" w:hAnsi="Times New Roman" w:eastAsia="Tahoma" w:cs="Times New Roman"/>
          <w:b w:val="0"/>
          <w:i w:val="0"/>
          <w:caps w:val="0"/>
          <w:color w:val="666666"/>
          <w:spacing w:val="0"/>
          <w:sz w:val="31"/>
          <w:szCs w:val="31"/>
          <w:bdr w:val="none" w:color="auto" w:sz="0" w:space="0"/>
          <w:shd w:val="clear" w:fill="FFFFFF"/>
        </w:rPr>
        <w:t>2017</w:t>
      </w:r>
      <w:r>
        <w:rPr>
          <w:rStyle w:val="4"/>
          <w:rFonts w:hint="eastAsia" w:ascii="宋体" w:hAnsi="宋体" w:eastAsia="宋体" w:cs="宋体"/>
          <w:b w:val="0"/>
          <w:i w:val="0"/>
          <w:caps w:val="0"/>
          <w:color w:val="666666"/>
          <w:spacing w:val="0"/>
          <w:sz w:val="31"/>
          <w:szCs w:val="31"/>
          <w:bdr w:val="none" w:color="auto" w:sz="0" w:space="0"/>
          <w:shd w:val="clear" w:fill="FFFFFF"/>
        </w:rPr>
        <w:t>〕</w:t>
      </w:r>
      <w:r>
        <w:rPr>
          <w:rStyle w:val="4"/>
          <w:rFonts w:hint="default" w:ascii="Times New Roman" w:hAnsi="Times New Roman" w:eastAsia="Tahoma" w:cs="Times New Roman"/>
          <w:b w:val="0"/>
          <w:i w:val="0"/>
          <w:caps w:val="0"/>
          <w:color w:val="666666"/>
          <w:spacing w:val="0"/>
          <w:sz w:val="31"/>
          <w:szCs w:val="31"/>
          <w:bdr w:val="none" w:color="auto" w:sz="0" w:space="0"/>
          <w:shd w:val="clear" w:fill="FFFFFF"/>
        </w:rPr>
        <w:t>52</w:t>
      </w:r>
      <w:r>
        <w:rPr>
          <w:rStyle w:val="4"/>
          <w:rFonts w:hint="eastAsia" w:ascii="宋体" w:hAnsi="宋体" w:eastAsia="宋体" w:cs="宋体"/>
          <w:b w:val="0"/>
          <w:i w:val="0"/>
          <w:caps w:val="0"/>
          <w:color w:val="666666"/>
          <w:spacing w:val="0"/>
          <w:sz w:val="31"/>
          <w:szCs w:val="31"/>
          <w:bdr w:val="none" w:color="auto" w:sz="0" w:space="0"/>
          <w:shd w:val="clear" w:fill="FFFFFF"/>
        </w:rPr>
        <w:t>号）及《辽宁省人民政府办公厅关于制定和实施辽宁省老年人照顾服务项目的实施意见》（辽政办发〔</w:t>
      </w:r>
      <w:r>
        <w:rPr>
          <w:rStyle w:val="4"/>
          <w:rFonts w:hint="default" w:ascii="Times New Roman" w:hAnsi="Times New Roman" w:eastAsia="Tahoma" w:cs="Times New Roman"/>
          <w:b w:val="0"/>
          <w:i w:val="0"/>
          <w:caps w:val="0"/>
          <w:color w:val="666666"/>
          <w:spacing w:val="0"/>
          <w:sz w:val="31"/>
          <w:szCs w:val="31"/>
          <w:bdr w:val="none" w:color="auto" w:sz="0" w:space="0"/>
          <w:shd w:val="clear" w:fill="FFFFFF"/>
        </w:rPr>
        <w:t>2018</w:t>
      </w:r>
      <w:r>
        <w:rPr>
          <w:rStyle w:val="4"/>
          <w:rFonts w:hint="eastAsia" w:ascii="宋体" w:hAnsi="宋体" w:eastAsia="宋体" w:cs="宋体"/>
          <w:b w:val="0"/>
          <w:i w:val="0"/>
          <w:caps w:val="0"/>
          <w:color w:val="666666"/>
          <w:spacing w:val="0"/>
          <w:sz w:val="31"/>
          <w:szCs w:val="31"/>
          <w:bdr w:val="none" w:color="auto" w:sz="0" w:space="0"/>
          <w:shd w:val="clear" w:fill="FFFFFF"/>
        </w:rPr>
        <w:t>〕</w:t>
      </w:r>
      <w:r>
        <w:rPr>
          <w:rStyle w:val="4"/>
          <w:rFonts w:hint="default" w:ascii="Times New Roman" w:hAnsi="Times New Roman" w:eastAsia="Tahoma" w:cs="Times New Roman"/>
          <w:b w:val="0"/>
          <w:i w:val="0"/>
          <w:caps w:val="0"/>
          <w:color w:val="666666"/>
          <w:spacing w:val="0"/>
          <w:sz w:val="31"/>
          <w:szCs w:val="31"/>
          <w:bdr w:val="none" w:color="auto" w:sz="0" w:space="0"/>
          <w:shd w:val="clear" w:fill="FFFFFF"/>
        </w:rPr>
        <w:t>3</w:t>
      </w:r>
      <w:r>
        <w:rPr>
          <w:rStyle w:val="4"/>
          <w:rFonts w:hint="eastAsia" w:ascii="宋体" w:hAnsi="宋体" w:eastAsia="宋体" w:cs="宋体"/>
          <w:b w:val="0"/>
          <w:i w:val="0"/>
          <w:caps w:val="0"/>
          <w:color w:val="666666"/>
          <w:spacing w:val="0"/>
          <w:sz w:val="31"/>
          <w:szCs w:val="31"/>
          <w:bdr w:val="none" w:color="auto" w:sz="0" w:space="0"/>
          <w:shd w:val="clear" w:fill="FFFFFF"/>
        </w:rPr>
        <w:t>号）精神，积极应对人口老龄化，构建养老、孝老、敬老政策体系和社会环境，提升我市老年人的获得感和幸福感，经市政府同意，制定了《沈阳市老年人照顾服务项目实施方案》（以下简称《实施方案》）。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黑体" w:hAnsi="Tahoma" w:eastAsia="黑体" w:cs="黑体"/>
          <w:b w:val="0"/>
          <w:i w:val="0"/>
          <w:caps w:val="0"/>
          <w:color w:val="666666"/>
          <w:spacing w:val="0"/>
          <w:sz w:val="31"/>
          <w:szCs w:val="31"/>
          <w:bdr w:val="none" w:color="auto" w:sz="0" w:space="0"/>
          <w:shd w:val="clear" w:fill="FFFFFF"/>
        </w:rPr>
        <w:t>二、关于《实施方案》的框架结构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《实施方案》共</w:t>
      </w:r>
      <w:r>
        <w:rPr>
          <w:rStyle w:val="4"/>
          <w:rFonts w:hint="default" w:ascii="Times New Roman" w:hAnsi="Times New Roman" w:eastAsia="Tahoma" w:cs="Times New Roman"/>
          <w:b w:val="0"/>
          <w:i w:val="0"/>
          <w:caps w:val="0"/>
          <w:color w:val="666666"/>
          <w:spacing w:val="0"/>
          <w:sz w:val="31"/>
          <w:szCs w:val="31"/>
          <w:bdr w:val="none" w:color="auto" w:sz="0" w:space="0"/>
          <w:shd w:val="clear" w:fill="FFFFFF"/>
        </w:rPr>
        <w:t>4200</w:t>
      </w:r>
      <w:r>
        <w:rPr>
          <w:rStyle w:val="4"/>
          <w:rFonts w:hint="eastAsia" w:ascii="宋体" w:hAnsi="宋体" w:eastAsia="宋体" w:cs="宋体"/>
          <w:b w:val="0"/>
          <w:i w:val="0"/>
          <w:caps w:val="0"/>
          <w:color w:val="666666"/>
          <w:spacing w:val="0"/>
          <w:sz w:val="31"/>
          <w:szCs w:val="31"/>
          <w:bdr w:val="none" w:color="auto" w:sz="0" w:space="0"/>
          <w:shd w:val="clear" w:fill="FFFFFF"/>
        </w:rPr>
        <w:t>字，由总体要求、重点任务、组织领导共三部分组成。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第一部分，总体要求。《实施方案》深入贯彻落实党的十九大精神，以习近平新时代中国特色社会主义思想为指导，按照“党委领导、政府主导、社会参与、全民行动”的老龄工作方针，全面落实党中央、国务院关于老年人照顾服务工作的决策部署，大力弘扬尊老敬老助老的社会风尚，建立健全以居家为基础、社区为依托、机构为补充、医养相结合的多层次照顾服务养老体系，侧重高龄、失能、贫困、伤残、空巢、计划生育特殊家庭等困难老年人的特殊需要，让老年人共享改革发展成果，推动实现老有所养、老有所医、老有所为、老有所学、老有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第二部分，重点任务。这部分是《实施方案》的主体，共二十一条。内容涵盖了“老有所养、老有所医、老有所为、老有所学、老有所乐”的各个方面，既全面具体，又有很强的针对性、实效性和可操作性，为全面做好我市老年人照顾服务工作提供了政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在制度安排方面：完善针对老年人的补贴、保障、供养、扶助等制度；明确政府支持建设老年人日间照料站、区域性居家养老服务中心、农村互助幸福院等政策；细化医养结合相关政策。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在医疗服务方面：基层医疗卫生机构每年要为辖区内</w:t>
      </w:r>
      <w:r>
        <w:rPr>
          <w:rStyle w:val="4"/>
          <w:rFonts w:hint="default" w:ascii="Times New Roman" w:hAnsi="Times New Roman" w:eastAsia="Tahoma" w:cs="Times New Roman"/>
          <w:b w:val="0"/>
          <w:i w:val="0"/>
          <w:caps w:val="0"/>
          <w:color w:val="666666"/>
          <w:spacing w:val="0"/>
          <w:sz w:val="31"/>
          <w:szCs w:val="31"/>
          <w:bdr w:val="none" w:color="auto" w:sz="0" w:space="0"/>
          <w:shd w:val="clear" w:fill="FFFFFF"/>
        </w:rPr>
        <w:t>65</w:t>
      </w:r>
      <w:r>
        <w:rPr>
          <w:rStyle w:val="4"/>
          <w:rFonts w:hint="eastAsia" w:ascii="宋体" w:hAnsi="宋体" w:eastAsia="宋体" w:cs="宋体"/>
          <w:b w:val="0"/>
          <w:i w:val="0"/>
          <w:caps w:val="0"/>
          <w:color w:val="666666"/>
          <w:spacing w:val="0"/>
          <w:sz w:val="31"/>
          <w:szCs w:val="31"/>
          <w:bdr w:val="none" w:color="auto" w:sz="0" w:space="0"/>
          <w:shd w:val="clear" w:fill="FFFFFF"/>
        </w:rPr>
        <w:t>周岁及以上老年人免费体检并建立健康档案；对低保对象、特困人员及城乡低保边缘户家庭中的老年人参加城乡居民基本医疗保险，由政府给予相应资助。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在落户方面：解决异地父母落户问题；对符合条件人员，全面实现省内异地就医直接结算。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在法律援助方面：贫困老年人可依据规定缓交、减交、免交诉讼费及申请法律援助；老年人同一年度内</w:t>
      </w:r>
      <w:r>
        <w:rPr>
          <w:rStyle w:val="4"/>
          <w:rFonts w:hint="default" w:ascii="Times New Roman" w:hAnsi="Times New Roman" w:eastAsia="Tahoma" w:cs="Times New Roman"/>
          <w:b w:val="0"/>
          <w:i w:val="0"/>
          <w:caps w:val="0"/>
          <w:color w:val="666666"/>
          <w:spacing w:val="0"/>
          <w:sz w:val="31"/>
          <w:szCs w:val="31"/>
          <w:bdr w:val="none" w:color="auto" w:sz="0" w:space="0"/>
          <w:shd w:val="clear" w:fill="FFFFFF"/>
        </w:rPr>
        <w:t>2</w:t>
      </w:r>
      <w:r>
        <w:rPr>
          <w:rStyle w:val="4"/>
          <w:rFonts w:hint="eastAsia" w:ascii="宋体" w:hAnsi="宋体" w:eastAsia="宋体" w:cs="宋体"/>
          <w:b w:val="0"/>
          <w:i w:val="0"/>
          <w:caps w:val="0"/>
          <w:color w:val="666666"/>
          <w:spacing w:val="0"/>
          <w:sz w:val="31"/>
          <w:szCs w:val="31"/>
          <w:bdr w:val="none" w:color="auto" w:sz="0" w:space="0"/>
          <w:shd w:val="clear" w:fill="FFFFFF"/>
        </w:rPr>
        <w:t>次及以上申请法律援助的免于再次提交经济困难证明。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在居住出行方面：加快无障碍设施建设和改造，适时在具备条件的老旧小区中加装电梯；落实老年人乘车优惠政策，鼓励交通行业为老年人配备无障碍设施，并主动为老年人侯乘提供服务；鼓励与老年人日常生活密切相关的部门建立老年人“绿色通道”，优先为老年人办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在丰富精神文化生活方面：深入开展“敬老月”活动，坚持走访慰问，组织开展志愿服务；把老年教育纳入教育发展规划，建设老年教育网络学习平台；加强全民健身中心开放力度，开展老年人体育健身展示大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第三部分，保障措施。这部分是《实施方案》的服务保障，分别阐述了加强组织领导、健全保障机制、营造浓厚氛围、强化督促检查四项保障措施。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黑体" w:hAnsi="Tahoma" w:eastAsia="黑体" w:cs="黑体"/>
          <w:b w:val="0"/>
          <w:i w:val="0"/>
          <w:caps w:val="0"/>
          <w:color w:val="666666"/>
          <w:spacing w:val="0"/>
          <w:sz w:val="31"/>
          <w:szCs w:val="31"/>
          <w:bdr w:val="none" w:color="auto" w:sz="0" w:space="0"/>
          <w:shd w:val="clear" w:fill="FFFFFF"/>
        </w:rPr>
        <w:t>三、《实施方案》突出特点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一是任务更具体。为全面贯彻落实国家及省在老年人照顾服务项目方面的安排部署，我市对省实施意见内容进行任务细化，使每一项惠及老年人的政策任务都能落到实处。例如第（五）项任务中，将省实施意见中提到为老志愿活动细化为“共产党员社区奉献日”、“在职党员进社区”义务服务周、“巾帼爱心”志愿活动、“青春志愿关爱老年人”等内容，使我市的《实施方案》更具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二是责任更明晰。作为与老年人切身利益密切相关的政策文件，《实施方案》更注重相关任务的落细落实，为此责任主体的确定更加明晰。例如第（十）项任务将沈阳铁路局及桃仙国际机场股份有限公司列为责任单位，使老年人出行时的相关照顾服务落实有了明确的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4"/>
          <w:rFonts w:hint="eastAsia" w:ascii="宋体" w:hAnsi="宋体" w:eastAsia="宋体" w:cs="宋体"/>
          <w:b w:val="0"/>
          <w:i w:val="0"/>
          <w:caps w:val="0"/>
          <w:color w:val="666666"/>
          <w:spacing w:val="0"/>
          <w:sz w:val="31"/>
          <w:szCs w:val="31"/>
          <w:bdr w:val="none" w:color="auto" w:sz="0" w:space="0"/>
          <w:shd w:val="clear" w:fill="FFFFFF"/>
        </w:rPr>
        <w:t>三是亮点更突出。</w:t>
      </w:r>
      <w:r>
        <w:rPr>
          <w:rStyle w:val="4"/>
          <w:rFonts w:ascii="仿宋_GB2312" w:hAnsi="宋体" w:eastAsia="仿宋_GB2312" w:cs="仿宋_GB2312"/>
          <w:b w:val="0"/>
          <w:i w:val="0"/>
          <w:caps w:val="0"/>
          <w:color w:val="666666"/>
          <w:spacing w:val="0"/>
          <w:sz w:val="31"/>
          <w:szCs w:val="31"/>
          <w:bdr w:val="none" w:color="auto" w:sz="0" w:space="0"/>
          <w:shd w:val="clear" w:fill="FFFFFF"/>
        </w:rPr>
        <w:t>我市《实施方案》在对接省实施意见的基础上，</w:t>
      </w:r>
      <w:r>
        <w:rPr>
          <w:rStyle w:val="4"/>
          <w:rFonts w:hint="eastAsia" w:ascii="仿宋_GB2312" w:hAnsi="宋体" w:eastAsia="仿宋_GB2312" w:cs="仿宋_GB2312"/>
          <w:b w:val="0"/>
          <w:i w:val="0"/>
          <w:caps w:val="0"/>
          <w:color w:val="666666"/>
          <w:spacing w:val="0"/>
          <w:sz w:val="31"/>
          <w:szCs w:val="31"/>
          <w:bdr w:val="none" w:color="auto" w:sz="0" w:space="0"/>
          <w:shd w:val="clear" w:fill="FFFFFF"/>
        </w:rPr>
        <w:t>对相关服务项目标准进行了提升，不仅更接地气，而且着眼于满足全市老年人日益增长的对美好生活的向往，力争为全市老年人提供更高品质的生活服务。例如，第（三）条中，老年人可自愿随子女迁移户口，不受年龄限制；第（二十一）条是我市在国家及省相关意见以外的创新内容，将建立老年人“绿色通道”写入照顾服务政策中，推动了相关窗口单位更加自觉的为老年人提供高效便捷优质的服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C6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2019-01-22T03:02:20Z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